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HGsw.png" ContentType="image/.png"/>
  <Override PartName="/customUI/images/HGAus.png" ContentType="image/.png"/>
  <Override PartName="/customUI/images/HGfarbig.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3faaacf5190440c"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3D" w:rsidRDefault="006C1E3D" w:rsidP="004A389D">
      <w:pPr>
        <w:spacing w:line="240" w:lineRule="auto"/>
        <w:ind w:left="708"/>
        <w:jc w:val="center"/>
        <w:rPr>
          <w:b/>
          <w:sz w:val="28"/>
          <w:szCs w:val="28"/>
        </w:rPr>
      </w:pPr>
    </w:p>
    <w:p w:rsidR="006C1E3D" w:rsidRDefault="006C1E3D" w:rsidP="004A389D">
      <w:pPr>
        <w:spacing w:line="240" w:lineRule="auto"/>
        <w:ind w:left="708"/>
        <w:jc w:val="center"/>
        <w:rPr>
          <w:b/>
          <w:sz w:val="28"/>
          <w:szCs w:val="28"/>
        </w:rPr>
      </w:pPr>
    </w:p>
    <w:p w:rsidR="006C1E3D" w:rsidRDefault="006C1E3D" w:rsidP="004A389D">
      <w:pPr>
        <w:spacing w:line="240" w:lineRule="auto"/>
        <w:ind w:left="708"/>
        <w:jc w:val="center"/>
        <w:rPr>
          <w:b/>
          <w:sz w:val="28"/>
          <w:szCs w:val="28"/>
        </w:rPr>
      </w:pPr>
    </w:p>
    <w:p w:rsidR="006C1E3D" w:rsidRDefault="006C1E3D" w:rsidP="004A389D">
      <w:pPr>
        <w:spacing w:line="240" w:lineRule="auto"/>
        <w:ind w:left="708"/>
        <w:jc w:val="center"/>
        <w:rPr>
          <w:b/>
          <w:sz w:val="28"/>
          <w:szCs w:val="28"/>
        </w:rPr>
      </w:pPr>
    </w:p>
    <w:p w:rsidR="006C1E3D" w:rsidRDefault="006C1E3D" w:rsidP="004A389D">
      <w:pPr>
        <w:spacing w:line="240" w:lineRule="auto"/>
        <w:ind w:left="708"/>
        <w:jc w:val="center"/>
        <w:rPr>
          <w:b/>
          <w:sz w:val="28"/>
          <w:szCs w:val="28"/>
        </w:rPr>
      </w:pPr>
    </w:p>
    <w:p w:rsidR="006C1E3D" w:rsidRDefault="006C1E3D" w:rsidP="004A389D">
      <w:pPr>
        <w:spacing w:line="240" w:lineRule="auto"/>
        <w:ind w:left="708"/>
        <w:jc w:val="center"/>
        <w:rPr>
          <w:b/>
          <w:sz w:val="28"/>
          <w:szCs w:val="28"/>
        </w:rPr>
      </w:pPr>
    </w:p>
    <w:p w:rsidR="00A24B12" w:rsidRDefault="00A24B12" w:rsidP="00A24B12">
      <w:pPr>
        <w:spacing w:line="240" w:lineRule="auto"/>
        <w:ind w:left="708"/>
        <w:jc w:val="both"/>
        <w:rPr>
          <w:b/>
          <w:sz w:val="28"/>
          <w:szCs w:val="28"/>
        </w:rPr>
      </w:pPr>
    </w:p>
    <w:p w:rsidR="00A24B12" w:rsidRDefault="00A24B12" w:rsidP="00A24B12">
      <w:pPr>
        <w:spacing w:line="240" w:lineRule="auto"/>
        <w:ind w:left="708"/>
        <w:jc w:val="center"/>
        <w:rPr>
          <w:b/>
          <w:sz w:val="28"/>
          <w:szCs w:val="28"/>
        </w:rPr>
      </w:pPr>
    </w:p>
    <w:p w:rsidR="00397CA2" w:rsidRPr="00397CA2" w:rsidRDefault="00397CA2" w:rsidP="00A24B12">
      <w:pPr>
        <w:spacing w:line="240" w:lineRule="auto"/>
        <w:ind w:left="708"/>
        <w:jc w:val="center"/>
        <w:rPr>
          <w:b/>
          <w:sz w:val="28"/>
          <w:szCs w:val="28"/>
        </w:rPr>
      </w:pPr>
      <w:r w:rsidRPr="00397CA2">
        <w:rPr>
          <w:b/>
          <w:sz w:val="28"/>
          <w:szCs w:val="28"/>
        </w:rPr>
        <w:t>Informationsblatt zur Umzugskosten</w:t>
      </w:r>
      <w:r w:rsidR="00A24B12">
        <w:rPr>
          <w:b/>
          <w:sz w:val="28"/>
          <w:szCs w:val="28"/>
        </w:rPr>
        <w:t>vergütung</w:t>
      </w:r>
    </w:p>
    <w:p w:rsidR="00D33750" w:rsidRDefault="00A24B12" w:rsidP="00A24B12">
      <w:pPr>
        <w:jc w:val="center"/>
        <w:rPr>
          <w:b/>
          <w:sz w:val="28"/>
          <w:szCs w:val="28"/>
        </w:rPr>
      </w:pPr>
      <w:r>
        <w:rPr>
          <w:b/>
          <w:sz w:val="28"/>
          <w:szCs w:val="28"/>
        </w:rPr>
        <w:t xml:space="preserve">         </w:t>
      </w:r>
      <w:r w:rsidR="00397CA2" w:rsidRPr="00397CA2">
        <w:rPr>
          <w:b/>
          <w:sz w:val="28"/>
          <w:szCs w:val="28"/>
        </w:rPr>
        <w:t>nach dem Landesumzugskostengesetz</w:t>
      </w:r>
      <w:r>
        <w:rPr>
          <w:b/>
          <w:sz w:val="28"/>
          <w:szCs w:val="28"/>
        </w:rPr>
        <w:t xml:space="preserve"> (LUK</w:t>
      </w:r>
      <w:r w:rsidR="00397CA2" w:rsidRPr="00397CA2">
        <w:rPr>
          <w:b/>
          <w:sz w:val="28"/>
          <w:szCs w:val="28"/>
        </w:rPr>
        <w:t>G)</w:t>
      </w:r>
    </w:p>
    <w:p w:rsidR="00397CA2" w:rsidRDefault="00397CA2" w:rsidP="00A24B12">
      <w:pPr>
        <w:jc w:val="both"/>
        <w:rPr>
          <w:b/>
          <w:sz w:val="28"/>
          <w:szCs w:val="28"/>
        </w:rPr>
      </w:pPr>
    </w:p>
    <w:p w:rsidR="00397CA2" w:rsidRPr="009C3792" w:rsidRDefault="00397CA2" w:rsidP="00493C68">
      <w:pPr>
        <w:jc w:val="both"/>
        <w:rPr>
          <w:b/>
          <w:sz w:val="24"/>
          <w:szCs w:val="24"/>
          <w:u w:val="single"/>
        </w:rPr>
      </w:pPr>
      <w:r w:rsidRPr="009C3792">
        <w:rPr>
          <w:b/>
          <w:sz w:val="24"/>
          <w:szCs w:val="24"/>
          <w:u w:val="single"/>
        </w:rPr>
        <w:t>Anspruch auf Umzugskostenvergütung</w:t>
      </w:r>
    </w:p>
    <w:p w:rsidR="00EF753A" w:rsidRPr="00EF753A" w:rsidRDefault="00EF753A" w:rsidP="00493C68">
      <w:pPr>
        <w:pStyle w:val="Listenabsatz"/>
        <w:jc w:val="both"/>
        <w:rPr>
          <w:b/>
          <w:sz w:val="24"/>
          <w:szCs w:val="24"/>
        </w:rPr>
      </w:pPr>
    </w:p>
    <w:p w:rsidR="00413845" w:rsidRPr="00910F88" w:rsidRDefault="00F622C8" w:rsidP="00493C68">
      <w:pPr>
        <w:jc w:val="both"/>
        <w:rPr>
          <w:sz w:val="22"/>
          <w:szCs w:val="22"/>
        </w:rPr>
      </w:pPr>
      <w:r>
        <w:rPr>
          <w:sz w:val="22"/>
          <w:szCs w:val="22"/>
        </w:rPr>
        <w:t xml:space="preserve">Eine </w:t>
      </w:r>
      <w:r w:rsidR="00413845" w:rsidRPr="00910F88">
        <w:rPr>
          <w:sz w:val="22"/>
          <w:szCs w:val="22"/>
        </w:rPr>
        <w:t xml:space="preserve">Umzugskostenerstattung bzw. ein Zuschuss zu den Umzugskosten kann nur erfolgen, wenn eine schriftliche Zusage vorliegt. Die Umzugskostenvergütung ist </w:t>
      </w:r>
      <w:bookmarkStart w:id="0" w:name="_GoBack"/>
      <w:r w:rsidR="00413845" w:rsidRPr="00910F88">
        <w:rPr>
          <w:sz w:val="22"/>
          <w:szCs w:val="22"/>
        </w:rPr>
        <w:t xml:space="preserve">innerhalb </w:t>
      </w:r>
      <w:bookmarkEnd w:id="0"/>
      <w:r w:rsidR="00413845" w:rsidRPr="00910F88">
        <w:rPr>
          <w:sz w:val="22"/>
          <w:szCs w:val="22"/>
        </w:rPr>
        <w:t>einer Aus</w:t>
      </w:r>
      <w:r w:rsidR="00CA1B30" w:rsidRPr="00910F88">
        <w:rPr>
          <w:sz w:val="22"/>
          <w:szCs w:val="22"/>
        </w:rPr>
        <w:t>schlussfrist von einem Jahr beim Personalservice der Universitätsverwaltung, Abt. 5.1 zu beantragen. Die Frist beginnt mit dem Tag nach Beendigung des Umzuges. Außerdem muss der Umzug innerhalb von fünf Jahren nach Wirksamwerden der schriftlichen Zusage durchgeführt werden.</w:t>
      </w:r>
    </w:p>
    <w:p w:rsidR="00EF753A" w:rsidRDefault="00EF753A" w:rsidP="00493C68">
      <w:pPr>
        <w:jc w:val="both"/>
        <w:rPr>
          <w:sz w:val="22"/>
          <w:szCs w:val="22"/>
        </w:rPr>
      </w:pPr>
    </w:p>
    <w:p w:rsidR="00910F88" w:rsidRPr="009C3792" w:rsidRDefault="00CA1B30" w:rsidP="00EF753A">
      <w:pPr>
        <w:jc w:val="both"/>
        <w:rPr>
          <w:sz w:val="22"/>
          <w:szCs w:val="22"/>
          <w:u w:val="single"/>
        </w:rPr>
      </w:pPr>
      <w:r w:rsidRPr="009C3792">
        <w:rPr>
          <w:b/>
          <w:sz w:val="24"/>
          <w:szCs w:val="24"/>
          <w:u w:val="single"/>
        </w:rPr>
        <w:t xml:space="preserve"> Erstattungsfähige Auslagen</w:t>
      </w:r>
    </w:p>
    <w:p w:rsidR="006C1E3D" w:rsidRDefault="006C1E3D" w:rsidP="00493C68">
      <w:pPr>
        <w:rPr>
          <w:i/>
          <w:sz w:val="22"/>
          <w:szCs w:val="22"/>
        </w:rPr>
      </w:pPr>
    </w:p>
    <w:p w:rsidR="006C1E3D" w:rsidRPr="00BC6128" w:rsidRDefault="00EF753A" w:rsidP="00493C68">
      <w:pPr>
        <w:jc w:val="both"/>
        <w:rPr>
          <w:b/>
          <w:sz w:val="22"/>
          <w:szCs w:val="22"/>
        </w:rPr>
      </w:pPr>
      <w:r w:rsidRPr="00BC6128">
        <w:rPr>
          <w:rFonts w:ascii="Calibri" w:hAnsi="Calibri" w:cs="Calibri"/>
          <w:b/>
          <w:sz w:val="22"/>
          <w:szCs w:val="22"/>
        </w:rPr>
        <w:t>•</w:t>
      </w:r>
      <w:r w:rsidR="006C1E3D" w:rsidRPr="00BC6128">
        <w:rPr>
          <w:b/>
          <w:sz w:val="22"/>
          <w:szCs w:val="22"/>
        </w:rPr>
        <w:t>B</w:t>
      </w:r>
      <w:r w:rsidR="00910F88" w:rsidRPr="00BC6128">
        <w:rPr>
          <w:b/>
          <w:sz w:val="22"/>
          <w:szCs w:val="22"/>
        </w:rPr>
        <w:t>eförderungsauslagen:</w:t>
      </w:r>
    </w:p>
    <w:p w:rsidR="00957BC3" w:rsidRDefault="00910F88" w:rsidP="00493C68">
      <w:pPr>
        <w:jc w:val="both"/>
        <w:rPr>
          <w:sz w:val="22"/>
          <w:szCs w:val="22"/>
        </w:rPr>
      </w:pPr>
      <w:r w:rsidRPr="00910F88">
        <w:rPr>
          <w:sz w:val="22"/>
          <w:szCs w:val="22"/>
        </w:rPr>
        <w:t xml:space="preserve">Bei Umzügen die mit einem Speditionsunternehmen durchgeführt werden sind mindestens 3 Kostenvoranschläge erforderlich. Diese müssen jeweils einen Gesamtpreis ausweisen, den der Spediteur verbindlich als Obergrenze für den Rechnungsbetrag anerkennt </w:t>
      </w:r>
      <w:r w:rsidRPr="00910F88">
        <w:rPr>
          <w:b/>
          <w:sz w:val="22"/>
          <w:szCs w:val="22"/>
        </w:rPr>
        <w:t>(=Festpreis)</w:t>
      </w:r>
      <w:r w:rsidRPr="00910F88">
        <w:rPr>
          <w:sz w:val="22"/>
          <w:szCs w:val="22"/>
        </w:rPr>
        <w:t>.</w:t>
      </w:r>
    </w:p>
    <w:p w:rsidR="00DB7790" w:rsidRPr="00910F88" w:rsidRDefault="00DB7790" w:rsidP="00493C68">
      <w:pPr>
        <w:rPr>
          <w:sz w:val="22"/>
          <w:szCs w:val="22"/>
        </w:rPr>
      </w:pPr>
    </w:p>
    <w:p w:rsidR="00CA1B30" w:rsidRDefault="00EF753A" w:rsidP="00493C68">
      <w:pPr>
        <w:jc w:val="both"/>
        <w:rPr>
          <w:i/>
          <w:sz w:val="22"/>
          <w:szCs w:val="22"/>
        </w:rPr>
      </w:pPr>
      <w:r w:rsidRPr="009C3792">
        <w:rPr>
          <w:rFonts w:ascii="Calibri" w:hAnsi="Calibri" w:cs="Calibri"/>
          <w:b/>
          <w:sz w:val="22"/>
          <w:szCs w:val="22"/>
        </w:rPr>
        <w:t>•</w:t>
      </w:r>
      <w:r w:rsidR="00910F88" w:rsidRPr="009C3792">
        <w:rPr>
          <w:b/>
          <w:sz w:val="22"/>
          <w:szCs w:val="22"/>
        </w:rPr>
        <w:t>Reisekosten</w:t>
      </w:r>
      <w:r w:rsidR="00910F88" w:rsidRPr="00910F88">
        <w:rPr>
          <w:i/>
          <w:sz w:val="22"/>
          <w:szCs w:val="22"/>
        </w:rPr>
        <w:t>:</w:t>
      </w:r>
    </w:p>
    <w:p w:rsidR="00957BC3" w:rsidRDefault="00957BC3" w:rsidP="00493C68">
      <w:pPr>
        <w:ind w:left="2124" w:hanging="2124"/>
        <w:jc w:val="both"/>
        <w:rPr>
          <w:sz w:val="22"/>
          <w:szCs w:val="22"/>
        </w:rPr>
      </w:pPr>
      <w:r w:rsidRPr="00957BC3">
        <w:rPr>
          <w:sz w:val="22"/>
          <w:szCs w:val="22"/>
        </w:rPr>
        <w:t>Umzugsreise:</w:t>
      </w:r>
      <w:r>
        <w:rPr>
          <w:sz w:val="22"/>
          <w:szCs w:val="22"/>
        </w:rPr>
        <w:tab/>
        <w:t>Erstattet werden die Fahrtkosten für alle Familienmitglieder von der bisherigen Wohnung zur neuen Wohnung, sowie Tagegeld und evtl. anfallende Übernachtungskosten.</w:t>
      </w:r>
    </w:p>
    <w:p w:rsidR="00957BC3" w:rsidRDefault="00957BC3" w:rsidP="00493C68">
      <w:pPr>
        <w:ind w:left="2124" w:hanging="2124"/>
        <w:jc w:val="both"/>
        <w:rPr>
          <w:sz w:val="22"/>
          <w:szCs w:val="22"/>
        </w:rPr>
      </w:pPr>
      <w:r>
        <w:rPr>
          <w:sz w:val="22"/>
          <w:szCs w:val="22"/>
        </w:rPr>
        <w:t>Besichtigungsreise:</w:t>
      </w:r>
      <w:r>
        <w:rPr>
          <w:sz w:val="22"/>
          <w:szCs w:val="22"/>
        </w:rPr>
        <w:tab/>
      </w:r>
      <w:r w:rsidR="001A449B">
        <w:rPr>
          <w:sz w:val="22"/>
          <w:szCs w:val="22"/>
        </w:rPr>
        <w:t xml:space="preserve">Es werden die Kosten von max. zwei Reisen für eine Person oder eine </w:t>
      </w:r>
      <w:r w:rsidR="00985287">
        <w:rPr>
          <w:sz w:val="22"/>
          <w:szCs w:val="22"/>
        </w:rPr>
        <w:t xml:space="preserve">Reise für 2 Personen </w:t>
      </w:r>
      <w:r w:rsidR="004A389D">
        <w:rPr>
          <w:sz w:val="22"/>
          <w:szCs w:val="22"/>
        </w:rPr>
        <w:t>erstattet. Neben den Fahrtkosten können Tagegeld und Übernachtungskosten bis zu zwei Reise- und Aufenthaltstage gezahlt werden.</w:t>
      </w:r>
    </w:p>
    <w:p w:rsidR="006C1E3D" w:rsidRDefault="004A389D" w:rsidP="00493C68">
      <w:pPr>
        <w:ind w:left="2124" w:hanging="2124"/>
        <w:jc w:val="both"/>
        <w:rPr>
          <w:sz w:val="22"/>
          <w:szCs w:val="22"/>
        </w:rPr>
      </w:pPr>
      <w:r>
        <w:rPr>
          <w:sz w:val="22"/>
          <w:szCs w:val="22"/>
        </w:rPr>
        <w:t>Vorbereitungsreise:</w:t>
      </w:r>
      <w:r>
        <w:rPr>
          <w:sz w:val="22"/>
          <w:szCs w:val="22"/>
        </w:rPr>
        <w:tab/>
        <w:t>Bei einer Reise zur Vorbereitung des Umzugs werden nur die Fahrtkosten</w:t>
      </w:r>
      <w:r w:rsidR="006C1E3D">
        <w:rPr>
          <w:sz w:val="22"/>
          <w:szCs w:val="22"/>
        </w:rPr>
        <w:t xml:space="preserve"> vom Dienstort zur bisherigen Wohnung erstattet.</w:t>
      </w:r>
    </w:p>
    <w:p w:rsidR="00493C68" w:rsidRDefault="00493C68" w:rsidP="00493C68">
      <w:pPr>
        <w:ind w:left="2124" w:hanging="2124"/>
        <w:rPr>
          <w:rFonts w:ascii="Calibri" w:hAnsi="Calibri" w:cs="Calibri"/>
          <w:b/>
          <w:sz w:val="22"/>
          <w:szCs w:val="22"/>
        </w:rPr>
      </w:pPr>
    </w:p>
    <w:p w:rsidR="00493C68" w:rsidRPr="00493C68" w:rsidRDefault="00493C68" w:rsidP="00493C68">
      <w:pPr>
        <w:ind w:left="2124" w:hanging="2124"/>
        <w:rPr>
          <w:b/>
          <w:sz w:val="22"/>
          <w:szCs w:val="22"/>
        </w:rPr>
      </w:pPr>
      <w:r w:rsidRPr="00493C68">
        <w:rPr>
          <w:rFonts w:ascii="Calibri" w:hAnsi="Calibri" w:cs="Calibri"/>
          <w:b/>
          <w:sz w:val="22"/>
          <w:szCs w:val="22"/>
        </w:rPr>
        <w:t>•</w:t>
      </w:r>
      <w:r w:rsidR="006C1E3D" w:rsidRPr="00493C68">
        <w:rPr>
          <w:b/>
          <w:sz w:val="22"/>
          <w:szCs w:val="22"/>
        </w:rPr>
        <w:t>Mietentschädigung:</w:t>
      </w:r>
    </w:p>
    <w:p w:rsidR="00493C68" w:rsidRDefault="00CB0D6E" w:rsidP="00F622C8">
      <w:pPr>
        <w:ind w:left="2124" w:hanging="2124"/>
        <w:jc w:val="both"/>
        <w:rPr>
          <w:sz w:val="22"/>
          <w:szCs w:val="22"/>
        </w:rPr>
      </w:pPr>
      <w:r w:rsidRPr="00CB0D6E">
        <w:rPr>
          <w:sz w:val="22"/>
          <w:szCs w:val="22"/>
        </w:rPr>
        <w:t>Mietentschädigungen können</w:t>
      </w:r>
      <w:r>
        <w:rPr>
          <w:sz w:val="22"/>
          <w:szCs w:val="22"/>
        </w:rPr>
        <w:t xml:space="preserve"> beantragt werden, wenn Sie zeitgleich Miete aus zwei Mietverhäl</w:t>
      </w:r>
      <w:r w:rsidR="00493C68">
        <w:rPr>
          <w:sz w:val="22"/>
          <w:szCs w:val="22"/>
        </w:rPr>
        <w:t>tnissen</w:t>
      </w:r>
    </w:p>
    <w:p w:rsidR="00493C68" w:rsidRDefault="00CB0D6E" w:rsidP="00F622C8">
      <w:pPr>
        <w:ind w:left="2124" w:hanging="2124"/>
        <w:jc w:val="both"/>
        <w:rPr>
          <w:sz w:val="22"/>
          <w:szCs w:val="22"/>
        </w:rPr>
      </w:pPr>
      <w:r>
        <w:rPr>
          <w:sz w:val="22"/>
          <w:szCs w:val="22"/>
        </w:rPr>
        <w:t>zahlen müssen. Für die bisherige Wohnung und die neue Wohnung. Erstattet werden die Kosten für die</w:t>
      </w:r>
    </w:p>
    <w:p w:rsidR="00F622C8" w:rsidRDefault="00CB0D6E" w:rsidP="00F622C8">
      <w:pPr>
        <w:ind w:left="2124" w:hanging="2124"/>
        <w:jc w:val="both"/>
        <w:rPr>
          <w:sz w:val="22"/>
          <w:szCs w:val="22"/>
        </w:rPr>
      </w:pPr>
      <w:r>
        <w:rPr>
          <w:sz w:val="22"/>
          <w:szCs w:val="22"/>
        </w:rPr>
        <w:t xml:space="preserve">Wohnung, die </w:t>
      </w:r>
      <w:r w:rsidR="00F622C8">
        <w:rPr>
          <w:sz w:val="22"/>
          <w:szCs w:val="22"/>
        </w:rPr>
        <w:t xml:space="preserve">jeweils vor bzw. nach dem Umzug </w:t>
      </w:r>
      <w:r>
        <w:rPr>
          <w:sz w:val="22"/>
          <w:szCs w:val="22"/>
        </w:rPr>
        <w:t xml:space="preserve">nicht genutzt wird. Die Erstattung für die bisherige </w:t>
      </w:r>
    </w:p>
    <w:p w:rsidR="006C1E3D" w:rsidRDefault="00F622C8" w:rsidP="00F622C8">
      <w:pPr>
        <w:ind w:left="2124" w:hanging="2124"/>
        <w:jc w:val="both"/>
        <w:rPr>
          <w:sz w:val="22"/>
          <w:szCs w:val="22"/>
        </w:rPr>
      </w:pPr>
      <w:r>
        <w:rPr>
          <w:sz w:val="22"/>
          <w:szCs w:val="22"/>
        </w:rPr>
        <w:t>W</w:t>
      </w:r>
      <w:r w:rsidR="00CB0D6E">
        <w:rPr>
          <w:sz w:val="22"/>
          <w:szCs w:val="22"/>
        </w:rPr>
        <w:t>ohnung ist auf längstens 6 Monate, für</w:t>
      </w:r>
      <w:r>
        <w:rPr>
          <w:sz w:val="22"/>
          <w:szCs w:val="22"/>
        </w:rPr>
        <w:t xml:space="preserve"> </w:t>
      </w:r>
      <w:r w:rsidR="00CB0D6E">
        <w:rPr>
          <w:sz w:val="22"/>
          <w:szCs w:val="22"/>
        </w:rPr>
        <w:t>die neue Wohnung auf längstens 3 Monate begrenzt.</w:t>
      </w:r>
    </w:p>
    <w:p w:rsidR="00DB7790" w:rsidRDefault="00DB7790" w:rsidP="00F622C8">
      <w:pPr>
        <w:ind w:left="2124" w:hanging="2124"/>
        <w:jc w:val="both"/>
        <w:rPr>
          <w:sz w:val="22"/>
          <w:szCs w:val="22"/>
        </w:rPr>
      </w:pPr>
    </w:p>
    <w:p w:rsidR="00CB0D6E" w:rsidRPr="009C3792" w:rsidRDefault="00EF753A" w:rsidP="00F622C8">
      <w:pPr>
        <w:ind w:left="2124" w:hanging="2124"/>
        <w:jc w:val="both"/>
        <w:rPr>
          <w:b/>
          <w:sz w:val="22"/>
          <w:szCs w:val="22"/>
        </w:rPr>
      </w:pPr>
      <w:r w:rsidRPr="009C3792">
        <w:rPr>
          <w:rFonts w:ascii="Calibri" w:hAnsi="Calibri" w:cs="Calibri"/>
          <w:b/>
          <w:sz w:val="22"/>
          <w:szCs w:val="22"/>
        </w:rPr>
        <w:t>•</w:t>
      </w:r>
      <w:r w:rsidR="00CB0D6E" w:rsidRPr="009C3792">
        <w:rPr>
          <w:b/>
          <w:sz w:val="22"/>
          <w:szCs w:val="22"/>
        </w:rPr>
        <w:t>Maklergebühren:</w:t>
      </w:r>
    </w:p>
    <w:p w:rsidR="00CB0D6E" w:rsidRDefault="00CB0D6E" w:rsidP="00F622C8">
      <w:pPr>
        <w:ind w:left="2124" w:hanging="2124"/>
        <w:jc w:val="both"/>
        <w:rPr>
          <w:sz w:val="22"/>
          <w:szCs w:val="22"/>
        </w:rPr>
      </w:pPr>
      <w:r>
        <w:rPr>
          <w:sz w:val="22"/>
          <w:szCs w:val="22"/>
        </w:rPr>
        <w:t>Maklergebühren werden bis zur Höhe der notwendigen ortsüblichen Maklergebühren für die Vermittlung</w:t>
      </w:r>
    </w:p>
    <w:p w:rsidR="00CB0D6E" w:rsidRDefault="00CB0D6E" w:rsidP="00F622C8">
      <w:pPr>
        <w:ind w:left="2124" w:hanging="2124"/>
        <w:jc w:val="both"/>
        <w:rPr>
          <w:sz w:val="22"/>
          <w:szCs w:val="22"/>
        </w:rPr>
      </w:pPr>
      <w:r>
        <w:rPr>
          <w:sz w:val="22"/>
          <w:szCs w:val="22"/>
        </w:rPr>
        <w:t xml:space="preserve">einer </w:t>
      </w:r>
      <w:r w:rsidRPr="00CB0D6E">
        <w:rPr>
          <w:b/>
          <w:sz w:val="22"/>
          <w:szCs w:val="22"/>
        </w:rPr>
        <w:t>Mietwohnung</w:t>
      </w:r>
      <w:r>
        <w:rPr>
          <w:sz w:val="22"/>
          <w:szCs w:val="22"/>
        </w:rPr>
        <w:t xml:space="preserve"> erstattet.</w:t>
      </w:r>
      <w:r w:rsidR="00AD59C1">
        <w:rPr>
          <w:sz w:val="22"/>
          <w:szCs w:val="22"/>
        </w:rPr>
        <w:t xml:space="preserve"> Bei Wohneigentum wird eine fiktive Miete zugrunde gelegt.</w:t>
      </w:r>
    </w:p>
    <w:p w:rsidR="00CB0D6E" w:rsidRDefault="00CB0D6E" w:rsidP="00F622C8">
      <w:pPr>
        <w:ind w:left="2124" w:hanging="2124"/>
        <w:jc w:val="both"/>
        <w:rPr>
          <w:sz w:val="22"/>
          <w:szCs w:val="22"/>
        </w:rPr>
      </w:pPr>
    </w:p>
    <w:p w:rsidR="00CB0D6E" w:rsidRPr="00EE4428" w:rsidRDefault="00EF753A" w:rsidP="00F622C8">
      <w:pPr>
        <w:ind w:left="2124" w:hanging="2124"/>
        <w:jc w:val="both"/>
        <w:rPr>
          <w:i/>
          <w:sz w:val="22"/>
          <w:szCs w:val="22"/>
        </w:rPr>
      </w:pPr>
      <w:r w:rsidRPr="009C3792">
        <w:rPr>
          <w:rFonts w:ascii="Calibri" w:hAnsi="Calibri" w:cs="Calibri"/>
          <w:b/>
          <w:sz w:val="22"/>
          <w:szCs w:val="22"/>
        </w:rPr>
        <w:t>•</w:t>
      </w:r>
      <w:r w:rsidR="00CB0D6E" w:rsidRPr="009C3792">
        <w:rPr>
          <w:b/>
          <w:sz w:val="22"/>
          <w:szCs w:val="22"/>
        </w:rPr>
        <w:t>Pauschvergütungen für sonstige Umzugsauslagen</w:t>
      </w:r>
      <w:r w:rsidR="00CB0D6E" w:rsidRPr="00EE4428">
        <w:rPr>
          <w:i/>
          <w:sz w:val="22"/>
          <w:szCs w:val="22"/>
        </w:rPr>
        <w:t>:</w:t>
      </w:r>
    </w:p>
    <w:p w:rsidR="00EE4428" w:rsidRDefault="00EE4428" w:rsidP="00F622C8">
      <w:pPr>
        <w:ind w:left="2124" w:hanging="2124"/>
        <w:jc w:val="both"/>
        <w:rPr>
          <w:sz w:val="22"/>
          <w:szCs w:val="22"/>
        </w:rPr>
      </w:pPr>
      <w:r>
        <w:rPr>
          <w:sz w:val="22"/>
          <w:szCs w:val="22"/>
        </w:rPr>
        <w:t>Mit der Pauschvergütung werden alle sonstigen Umzugsauslagen pauschal abgegolten. Sie richtet sich in</w:t>
      </w:r>
    </w:p>
    <w:p w:rsidR="00EE4428" w:rsidRDefault="00EE4428" w:rsidP="00F622C8">
      <w:pPr>
        <w:jc w:val="both"/>
        <w:rPr>
          <w:sz w:val="22"/>
          <w:szCs w:val="22"/>
        </w:rPr>
      </w:pPr>
      <w:r>
        <w:rPr>
          <w:sz w:val="22"/>
          <w:szCs w:val="22"/>
        </w:rPr>
        <w:t>der Höhe nach der Besoldungs-/Vergütungsgruppe und nach dem Familienstand.</w:t>
      </w:r>
    </w:p>
    <w:p w:rsidR="00EF753A" w:rsidRDefault="00EF753A" w:rsidP="00493C68">
      <w:pPr>
        <w:jc w:val="both"/>
        <w:rPr>
          <w:sz w:val="22"/>
          <w:szCs w:val="22"/>
        </w:rPr>
      </w:pPr>
    </w:p>
    <w:p w:rsidR="00AD59C1" w:rsidRDefault="00AD59C1" w:rsidP="00493C68">
      <w:pPr>
        <w:jc w:val="both"/>
        <w:rPr>
          <w:b/>
          <w:sz w:val="24"/>
          <w:szCs w:val="24"/>
        </w:rPr>
      </w:pPr>
    </w:p>
    <w:p w:rsidR="00AD59C1" w:rsidRDefault="00AD59C1" w:rsidP="00EE4428">
      <w:pPr>
        <w:jc w:val="both"/>
        <w:rPr>
          <w:b/>
          <w:sz w:val="24"/>
          <w:szCs w:val="24"/>
        </w:rPr>
      </w:pPr>
    </w:p>
    <w:p w:rsidR="00EE4428" w:rsidRPr="009C3792" w:rsidRDefault="00EF753A" w:rsidP="00EE4428">
      <w:pPr>
        <w:jc w:val="both"/>
        <w:rPr>
          <w:b/>
          <w:sz w:val="24"/>
          <w:szCs w:val="24"/>
          <w:u w:val="single"/>
        </w:rPr>
      </w:pPr>
      <w:r w:rsidRPr="009C3792">
        <w:rPr>
          <w:b/>
          <w:sz w:val="24"/>
          <w:szCs w:val="24"/>
          <w:u w:val="single"/>
        </w:rPr>
        <w:t>Sonstiges</w:t>
      </w:r>
    </w:p>
    <w:p w:rsidR="00AD59C1" w:rsidRDefault="00AD59C1" w:rsidP="00EE4428">
      <w:pPr>
        <w:jc w:val="both"/>
        <w:rPr>
          <w:sz w:val="22"/>
          <w:szCs w:val="22"/>
        </w:rPr>
      </w:pPr>
    </w:p>
    <w:p w:rsidR="00EF753A" w:rsidRPr="00AD59C1" w:rsidRDefault="00AD59C1" w:rsidP="00EE4428">
      <w:pPr>
        <w:jc w:val="both"/>
        <w:rPr>
          <w:sz w:val="22"/>
          <w:szCs w:val="22"/>
        </w:rPr>
      </w:pPr>
      <w:r w:rsidRPr="00AD59C1">
        <w:rPr>
          <w:sz w:val="22"/>
          <w:szCs w:val="22"/>
        </w:rPr>
        <w:t>Einlagerungskosten sind nicht erstattungsfähig.</w:t>
      </w:r>
    </w:p>
    <w:p w:rsidR="00AD59C1" w:rsidRDefault="00AD59C1" w:rsidP="00EE4428">
      <w:pPr>
        <w:jc w:val="both"/>
        <w:rPr>
          <w:sz w:val="22"/>
          <w:szCs w:val="22"/>
        </w:rPr>
      </w:pPr>
      <w:r>
        <w:rPr>
          <w:sz w:val="22"/>
          <w:szCs w:val="22"/>
        </w:rPr>
        <w:t xml:space="preserve">Umzüge aus dem Ausland bei </w:t>
      </w:r>
      <w:r w:rsidR="00F622C8">
        <w:rPr>
          <w:sz w:val="22"/>
          <w:szCs w:val="22"/>
        </w:rPr>
        <w:t xml:space="preserve">einer </w:t>
      </w:r>
      <w:r>
        <w:rPr>
          <w:sz w:val="22"/>
          <w:szCs w:val="22"/>
        </w:rPr>
        <w:t xml:space="preserve">Einstellung </w:t>
      </w:r>
      <w:r w:rsidR="00F622C8">
        <w:rPr>
          <w:sz w:val="22"/>
          <w:szCs w:val="22"/>
        </w:rPr>
        <w:t>an der Universität Heidelberg</w:t>
      </w:r>
      <w:r>
        <w:rPr>
          <w:sz w:val="22"/>
          <w:szCs w:val="22"/>
        </w:rPr>
        <w:t>sind gem. § 13 LUKG wie Inlandsumzüge zu behandeln.</w:t>
      </w:r>
    </w:p>
    <w:p w:rsidR="00AD59C1" w:rsidRDefault="00AD59C1" w:rsidP="00EE4428">
      <w:pPr>
        <w:jc w:val="both"/>
        <w:rPr>
          <w:sz w:val="22"/>
          <w:szCs w:val="22"/>
        </w:rPr>
      </w:pPr>
    </w:p>
    <w:p w:rsidR="00AD59C1" w:rsidRPr="009C3792" w:rsidRDefault="00AD59C1" w:rsidP="00EE4428">
      <w:pPr>
        <w:jc w:val="both"/>
        <w:rPr>
          <w:b/>
          <w:sz w:val="24"/>
          <w:szCs w:val="24"/>
          <w:u w:val="single"/>
        </w:rPr>
      </w:pPr>
      <w:r w:rsidRPr="009C3792">
        <w:rPr>
          <w:b/>
          <w:sz w:val="24"/>
          <w:szCs w:val="24"/>
          <w:u w:val="single"/>
        </w:rPr>
        <w:t>Rückzahlung von Umzugskosten</w:t>
      </w:r>
    </w:p>
    <w:p w:rsidR="00AD59C1" w:rsidRDefault="00AD59C1" w:rsidP="00EE4428">
      <w:pPr>
        <w:jc w:val="both"/>
        <w:rPr>
          <w:b/>
          <w:sz w:val="24"/>
          <w:szCs w:val="24"/>
        </w:rPr>
      </w:pPr>
    </w:p>
    <w:p w:rsidR="00AD59C1" w:rsidRDefault="00493C68" w:rsidP="00EE4428">
      <w:pPr>
        <w:jc w:val="both"/>
        <w:rPr>
          <w:sz w:val="22"/>
          <w:szCs w:val="22"/>
        </w:rPr>
      </w:pPr>
      <w:r>
        <w:rPr>
          <w:sz w:val="22"/>
          <w:szCs w:val="22"/>
        </w:rPr>
        <w:t xml:space="preserve">Die gewährte Umzugskostenvergütung ist nach den gesetzlichen Bestimmungen zurückzuzahlen, wenn das Dienst </w:t>
      </w:r>
      <w:r w:rsidR="00DA1138">
        <w:rPr>
          <w:sz w:val="22"/>
          <w:szCs w:val="22"/>
        </w:rPr>
        <w:t>- oder Arbeitsverhältnis bei der Universität Heidelberg aus einem von Ihnen zu vertretenden Grund vor Ablauf von zwei Jahr</w:t>
      </w:r>
      <w:r>
        <w:rPr>
          <w:sz w:val="22"/>
          <w:szCs w:val="22"/>
        </w:rPr>
        <w:t>en nach Beendigung des Umzuges endet.</w:t>
      </w:r>
    </w:p>
    <w:p w:rsidR="00DA1138" w:rsidRDefault="00DA1138" w:rsidP="00EE4428">
      <w:pPr>
        <w:jc w:val="both"/>
        <w:rPr>
          <w:sz w:val="22"/>
          <w:szCs w:val="22"/>
        </w:rPr>
      </w:pPr>
    </w:p>
    <w:p w:rsidR="001C4956" w:rsidRDefault="00A24B12" w:rsidP="00EE4428">
      <w:pPr>
        <w:jc w:val="both"/>
        <w:rPr>
          <w:sz w:val="22"/>
          <w:szCs w:val="22"/>
        </w:rPr>
      </w:pPr>
      <w:r>
        <w:rPr>
          <w:sz w:val="22"/>
          <w:szCs w:val="22"/>
        </w:rPr>
        <w:t>_____________________________________________________________________________________</w:t>
      </w:r>
    </w:p>
    <w:p w:rsidR="00A24B12" w:rsidRDefault="00A24B12" w:rsidP="00EE4428">
      <w:pPr>
        <w:jc w:val="both"/>
        <w:rPr>
          <w:sz w:val="22"/>
          <w:szCs w:val="22"/>
        </w:rPr>
      </w:pPr>
    </w:p>
    <w:p w:rsidR="001C4956" w:rsidRDefault="00A24B12" w:rsidP="00EE4428">
      <w:pPr>
        <w:jc w:val="both"/>
        <w:rPr>
          <w:sz w:val="22"/>
          <w:szCs w:val="22"/>
        </w:rPr>
      </w:pPr>
      <w:r>
        <w:rPr>
          <w:sz w:val="22"/>
          <w:szCs w:val="22"/>
        </w:rPr>
        <w:t xml:space="preserve">Dieses Informationsblatt beinhaltet nur die wichtigsten Belange zur Beantragung der Umzugskostenvergütung. Die Aufzählung ist nicht abschließend. </w:t>
      </w:r>
      <w:r w:rsidR="001C4956">
        <w:rPr>
          <w:sz w:val="22"/>
          <w:szCs w:val="22"/>
        </w:rPr>
        <w:t>Weitere Informationen, Ansprechpartner und die für die Beantragung</w:t>
      </w:r>
      <w:r>
        <w:rPr>
          <w:sz w:val="22"/>
          <w:szCs w:val="22"/>
        </w:rPr>
        <w:t xml:space="preserve"> </w:t>
      </w:r>
      <w:r w:rsidR="00493C68">
        <w:rPr>
          <w:sz w:val="22"/>
          <w:szCs w:val="22"/>
        </w:rPr>
        <w:t xml:space="preserve"> </w:t>
      </w:r>
      <w:r w:rsidR="001C4956">
        <w:rPr>
          <w:sz w:val="22"/>
          <w:szCs w:val="22"/>
        </w:rPr>
        <w:t xml:space="preserve"> erforderlichen  Formulare finden Sie  auf der </w:t>
      </w:r>
      <w:r w:rsidR="00F622C8">
        <w:rPr>
          <w:sz w:val="22"/>
          <w:szCs w:val="22"/>
        </w:rPr>
        <w:t>Website</w:t>
      </w:r>
      <w:r w:rsidR="001C4956">
        <w:rPr>
          <w:sz w:val="22"/>
          <w:szCs w:val="22"/>
        </w:rPr>
        <w:t xml:space="preserve"> des Personaldezernats:</w:t>
      </w:r>
    </w:p>
    <w:p w:rsidR="008A2BF4" w:rsidRDefault="008A2BF4" w:rsidP="00EE4428">
      <w:pPr>
        <w:jc w:val="both"/>
        <w:rPr>
          <w:sz w:val="22"/>
          <w:szCs w:val="22"/>
        </w:rPr>
      </w:pPr>
    </w:p>
    <w:p w:rsidR="001C4956" w:rsidRDefault="00032BB2" w:rsidP="00EE4428">
      <w:pPr>
        <w:jc w:val="both"/>
        <w:rPr>
          <w:sz w:val="22"/>
          <w:szCs w:val="22"/>
        </w:rPr>
      </w:pPr>
      <w:hyperlink r:id="rId7" w:history="1">
        <w:r w:rsidR="001C4956" w:rsidRPr="005D341A">
          <w:rPr>
            <w:rStyle w:val="Hyperlink"/>
            <w:sz w:val="22"/>
            <w:szCs w:val="22"/>
          </w:rPr>
          <w:t>https://www.uni-heidelberg.de/universitaet/beschaeftigte/service/personal/umzug_trennung.html</w:t>
        </w:r>
      </w:hyperlink>
    </w:p>
    <w:p w:rsidR="001C4956" w:rsidRDefault="001C4956" w:rsidP="00EE4428">
      <w:pPr>
        <w:jc w:val="both"/>
        <w:rPr>
          <w:sz w:val="22"/>
          <w:szCs w:val="22"/>
        </w:rPr>
      </w:pPr>
    </w:p>
    <w:p w:rsidR="00DA1138" w:rsidRPr="00AD59C1" w:rsidRDefault="00DA1138" w:rsidP="00EE4428">
      <w:pPr>
        <w:jc w:val="both"/>
        <w:rPr>
          <w:sz w:val="22"/>
          <w:szCs w:val="22"/>
        </w:rPr>
      </w:pPr>
    </w:p>
    <w:p w:rsidR="00AD59C1" w:rsidRDefault="00AD59C1" w:rsidP="001C4956">
      <w:pPr>
        <w:jc w:val="center"/>
        <w:rPr>
          <w:sz w:val="22"/>
          <w:szCs w:val="22"/>
        </w:rPr>
      </w:pPr>
    </w:p>
    <w:p w:rsidR="00AD59C1" w:rsidRDefault="00AD59C1" w:rsidP="00EE4428">
      <w:pPr>
        <w:jc w:val="both"/>
        <w:rPr>
          <w:sz w:val="22"/>
          <w:szCs w:val="22"/>
        </w:rPr>
      </w:pPr>
    </w:p>
    <w:p w:rsidR="00AD59C1" w:rsidRPr="00AD59C1" w:rsidRDefault="00AD59C1" w:rsidP="00EE4428">
      <w:pPr>
        <w:jc w:val="both"/>
        <w:rPr>
          <w:sz w:val="22"/>
          <w:szCs w:val="22"/>
        </w:rPr>
      </w:pPr>
    </w:p>
    <w:p w:rsidR="00AD59C1" w:rsidRPr="00AD59C1" w:rsidRDefault="00AD59C1" w:rsidP="00EE4428">
      <w:pPr>
        <w:jc w:val="both"/>
        <w:rPr>
          <w:sz w:val="22"/>
          <w:szCs w:val="22"/>
        </w:rPr>
      </w:pPr>
    </w:p>
    <w:p w:rsidR="00CB0D6E" w:rsidRPr="00AD59C1" w:rsidRDefault="00CB0D6E" w:rsidP="00957BC3">
      <w:pPr>
        <w:ind w:left="2124" w:hanging="2124"/>
        <w:jc w:val="both"/>
        <w:rPr>
          <w:sz w:val="22"/>
          <w:szCs w:val="22"/>
        </w:rPr>
      </w:pPr>
    </w:p>
    <w:p w:rsidR="00CB0D6E" w:rsidRPr="00AD59C1" w:rsidRDefault="00CB0D6E" w:rsidP="00CB0D6E">
      <w:pPr>
        <w:jc w:val="both"/>
        <w:rPr>
          <w:sz w:val="22"/>
          <w:szCs w:val="22"/>
        </w:rPr>
      </w:pPr>
    </w:p>
    <w:p w:rsidR="004A389D" w:rsidRPr="00AD59C1" w:rsidRDefault="004A389D" w:rsidP="00957BC3">
      <w:pPr>
        <w:ind w:left="2124" w:hanging="2124"/>
        <w:jc w:val="both"/>
        <w:rPr>
          <w:sz w:val="22"/>
          <w:szCs w:val="22"/>
        </w:rPr>
      </w:pPr>
    </w:p>
    <w:p w:rsidR="00910F88" w:rsidRPr="00AD59C1" w:rsidRDefault="00910F88" w:rsidP="00957BC3">
      <w:pPr>
        <w:jc w:val="both"/>
        <w:rPr>
          <w:sz w:val="22"/>
          <w:szCs w:val="22"/>
        </w:rPr>
      </w:pPr>
    </w:p>
    <w:p w:rsidR="00CA1B30" w:rsidRPr="00AD59C1" w:rsidRDefault="00CA1B30" w:rsidP="00957BC3">
      <w:pPr>
        <w:jc w:val="both"/>
        <w:rPr>
          <w:i/>
          <w:sz w:val="22"/>
          <w:szCs w:val="22"/>
          <w:u w:val="single"/>
        </w:rPr>
      </w:pPr>
    </w:p>
    <w:p w:rsidR="00397CA2" w:rsidRPr="00AD59C1" w:rsidRDefault="00397CA2" w:rsidP="00957BC3">
      <w:pPr>
        <w:jc w:val="both"/>
        <w:rPr>
          <w:i/>
          <w:sz w:val="22"/>
          <w:szCs w:val="22"/>
          <w:u w:val="single"/>
        </w:rPr>
      </w:pPr>
    </w:p>
    <w:p w:rsidR="00397CA2" w:rsidRPr="00397CA2" w:rsidRDefault="00397CA2" w:rsidP="00397CA2">
      <w:pPr>
        <w:jc w:val="center"/>
        <w:rPr>
          <w:b/>
          <w:sz w:val="28"/>
          <w:szCs w:val="28"/>
        </w:rPr>
      </w:pPr>
    </w:p>
    <w:sectPr w:rsidR="00397CA2" w:rsidRPr="00397CA2" w:rsidSect="004A389D">
      <w:headerReference w:type="default" r:id="rId8"/>
      <w:footerReference w:type="default" r:id="rId9"/>
      <w:headerReference w:type="first" r:id="rId10"/>
      <w:footerReference w:type="first" r:id="rId11"/>
      <w:pgSz w:w="11906" w:h="16838" w:code="9"/>
      <w:pgMar w:top="720" w:right="720" w:bottom="720" w:left="720" w:header="851"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B2" w:rsidRDefault="00032BB2">
      <w:r>
        <w:separator/>
      </w:r>
    </w:p>
  </w:endnote>
  <w:endnote w:type="continuationSeparator" w:id="0">
    <w:p w:rsidR="00032BB2" w:rsidRDefault="0003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9B" w:rsidRDefault="00BE5A9B">
    <w:pPr>
      <w:pStyle w:val="Fuzeile"/>
    </w:pPr>
    <w:r>
      <w:t xml:space="preserve">Seite </w:t>
    </w:r>
    <w:r>
      <w:fldChar w:fldCharType="begin"/>
    </w:r>
    <w:r>
      <w:instrText xml:space="preserve"> PAGE </w:instrText>
    </w:r>
    <w:r>
      <w:fldChar w:fldCharType="separate"/>
    </w:r>
    <w:r w:rsidR="00160B1F">
      <w:rPr>
        <w:noProof/>
      </w:rPr>
      <w:t>2</w:t>
    </w:r>
    <w:r>
      <w:fldChar w:fldCharType="end"/>
    </w:r>
    <w:r>
      <w:t xml:space="preserve"> von </w:t>
    </w:r>
    <w:r w:rsidR="00032BB2">
      <w:fldChar w:fldCharType="begin"/>
    </w:r>
    <w:r w:rsidR="00032BB2">
      <w:instrText xml:space="preserve"> SECTIONPAGES </w:instrText>
    </w:r>
    <w:r w:rsidR="00032BB2">
      <w:fldChar w:fldCharType="separate"/>
    </w:r>
    <w:r w:rsidR="00160B1F">
      <w:rPr>
        <w:noProof/>
      </w:rPr>
      <w:t>2</w:t>
    </w:r>
    <w:r w:rsidR="00032BB2">
      <w:rPr>
        <w:noProof/>
      </w:rPr>
      <w:fldChar w:fldCharType="end"/>
    </w:r>
  </w:p>
  <w:p w:rsidR="00BE5A9B" w:rsidRPr="00B7278D" w:rsidRDefault="00BE5A9B">
    <w:pPr>
      <w:pStyle w:val="Fuzeile"/>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4" w:type="dxa"/>
      </w:tblCellMar>
      <w:tblLook w:val="01E0" w:firstRow="1" w:lastRow="1" w:firstColumn="1" w:lastColumn="1" w:noHBand="0" w:noVBand="0"/>
    </w:tblPr>
    <w:tblGrid>
      <w:gridCol w:w="3402"/>
      <w:gridCol w:w="2268"/>
      <w:gridCol w:w="2268"/>
      <w:gridCol w:w="2268"/>
    </w:tblGrid>
    <w:tr w:rsidR="00BE5A9B" w:rsidTr="0052122A">
      <w:trPr>
        <w:cantSplit/>
        <w:trHeight w:hRule="exact" w:val="873"/>
      </w:trPr>
      <w:tc>
        <w:tcPr>
          <w:tcW w:w="3402" w:type="dxa"/>
          <w:vAlign w:val="bottom"/>
        </w:tcPr>
        <w:p w:rsidR="00BE5A9B" w:rsidRDefault="00BE5A9B" w:rsidP="009C6274">
          <w:pPr>
            <w:pStyle w:val="Fuzeile"/>
          </w:pPr>
          <w:r>
            <w:fldChar w:fldCharType="begin"/>
          </w:r>
          <w:r>
            <w:instrText xml:space="preserve"> IF </w:instrText>
          </w:r>
          <w:r w:rsidR="00032BB2">
            <w:fldChar w:fldCharType="begin"/>
          </w:r>
          <w:r w:rsidR="00032BB2">
            <w:instrText xml:space="preserve"> SECTIONPAGES </w:instrText>
          </w:r>
          <w:r w:rsidR="00032BB2">
            <w:fldChar w:fldCharType="separate"/>
          </w:r>
          <w:r w:rsidR="00160B1F">
            <w:rPr>
              <w:noProof/>
            </w:rPr>
            <w:instrText>2</w:instrText>
          </w:r>
          <w:r w:rsidR="00032BB2">
            <w:rPr>
              <w:noProof/>
            </w:rPr>
            <w:fldChar w:fldCharType="end"/>
          </w:r>
          <w:r>
            <w:instrText xml:space="preserve"> &gt; 1 "Seite </w:instrText>
          </w:r>
          <w:r>
            <w:fldChar w:fldCharType="begin"/>
          </w:r>
          <w:r>
            <w:instrText xml:space="preserve"> PAGE </w:instrText>
          </w:r>
          <w:r>
            <w:fldChar w:fldCharType="separate"/>
          </w:r>
          <w:r w:rsidR="00160B1F">
            <w:rPr>
              <w:noProof/>
            </w:rPr>
            <w:instrText>1</w:instrText>
          </w:r>
          <w:r>
            <w:fldChar w:fldCharType="end"/>
          </w:r>
          <w:r>
            <w:instrText xml:space="preserve"> von </w:instrText>
          </w:r>
          <w:r w:rsidR="00032BB2">
            <w:fldChar w:fldCharType="begin"/>
          </w:r>
          <w:r w:rsidR="00032BB2">
            <w:instrText xml:space="preserve"> SECTIONPAGES </w:instrText>
          </w:r>
          <w:r w:rsidR="00032BB2">
            <w:fldChar w:fldCharType="separate"/>
          </w:r>
          <w:r w:rsidR="00160B1F">
            <w:rPr>
              <w:noProof/>
            </w:rPr>
            <w:instrText>2</w:instrText>
          </w:r>
          <w:r w:rsidR="00032BB2">
            <w:rPr>
              <w:noProof/>
            </w:rPr>
            <w:fldChar w:fldCharType="end"/>
          </w:r>
          <w:r>
            <w:instrText xml:space="preserve">"  \* MERGEFORMAT </w:instrText>
          </w:r>
          <w:r w:rsidR="00160B1F">
            <w:fldChar w:fldCharType="separate"/>
          </w:r>
          <w:r w:rsidR="00160B1F">
            <w:rPr>
              <w:noProof/>
            </w:rPr>
            <w:t>Seite 1 von 2</w:t>
          </w:r>
          <w:r>
            <w:fldChar w:fldCharType="end"/>
          </w:r>
        </w:p>
      </w:tc>
      <w:tc>
        <w:tcPr>
          <w:tcW w:w="2268" w:type="dxa"/>
          <w:vAlign w:val="bottom"/>
        </w:tcPr>
        <w:p w:rsidR="00D414F4" w:rsidRDefault="00D414F4" w:rsidP="00F27B43">
          <w:pPr>
            <w:pStyle w:val="HDFuabsender"/>
            <w:framePr w:wrap="around"/>
          </w:pPr>
          <w:bookmarkStart w:id="2" w:name="AbsenderLinks"/>
          <w:bookmarkEnd w:id="2"/>
          <w:r>
            <w:t>BW-Bank Stuttgart</w:t>
          </w:r>
        </w:p>
        <w:p w:rsidR="00D414F4" w:rsidRDefault="00D414F4" w:rsidP="00F27B43">
          <w:pPr>
            <w:pStyle w:val="HDFuabsender"/>
            <w:framePr w:wrap="around"/>
          </w:pPr>
          <w:r>
            <w:t>BLZ 600 501 01  Konto 7421500436</w:t>
          </w:r>
        </w:p>
        <w:p w:rsidR="00D414F4" w:rsidRPr="007E567B" w:rsidRDefault="00D414F4" w:rsidP="00F27B43">
          <w:pPr>
            <w:pStyle w:val="HDFuabsender"/>
            <w:framePr w:wrap="around"/>
          </w:pPr>
          <w:r w:rsidRPr="007E567B">
            <w:t>SWIFT/BIC SOLADEST</w:t>
          </w:r>
        </w:p>
        <w:p w:rsidR="00BE5A9B" w:rsidRPr="002B2ADC" w:rsidRDefault="00D414F4" w:rsidP="00F27B43">
          <w:pPr>
            <w:pStyle w:val="HDFuabsender"/>
            <w:framePr w:wrap="around"/>
            <w:rPr>
              <w:lang w:val="en-US"/>
            </w:rPr>
          </w:pPr>
          <w:r w:rsidRPr="00D33750">
            <w:rPr>
              <w:lang w:val="en-US"/>
            </w:rPr>
            <w:t>IBAN DE69 6005 0101 7421 5004 36</w:t>
          </w:r>
        </w:p>
      </w:tc>
      <w:tc>
        <w:tcPr>
          <w:tcW w:w="2268" w:type="dxa"/>
          <w:vAlign w:val="bottom"/>
        </w:tcPr>
        <w:p w:rsidR="00D414F4" w:rsidRDefault="00D414F4" w:rsidP="00F27B43">
          <w:pPr>
            <w:pStyle w:val="HDFuabsender"/>
            <w:framePr w:wrap="around"/>
          </w:pPr>
          <w:bookmarkStart w:id="3" w:name="AbsenderMitte"/>
          <w:bookmarkEnd w:id="3"/>
          <w:r>
            <w:t>Universität Heidelberg</w:t>
          </w:r>
        </w:p>
        <w:p w:rsidR="00D414F4" w:rsidRDefault="00D414F4" w:rsidP="00F27B43">
          <w:pPr>
            <w:pStyle w:val="HDFuabsender"/>
            <w:framePr w:wrap="around"/>
          </w:pPr>
          <w:r>
            <w:t>Universitätsverwaltung</w:t>
          </w:r>
        </w:p>
        <w:p w:rsidR="00BE5A9B" w:rsidRPr="00DB3540" w:rsidRDefault="00D414F4" w:rsidP="00F27B43">
          <w:pPr>
            <w:pStyle w:val="HDFuabsender"/>
            <w:framePr w:wrap="around"/>
          </w:pPr>
          <w:r>
            <w:t>Dezernat 5, Abteilung 5.1</w:t>
          </w:r>
        </w:p>
      </w:tc>
      <w:tc>
        <w:tcPr>
          <w:tcW w:w="2268" w:type="dxa"/>
          <w:vAlign w:val="bottom"/>
        </w:tcPr>
        <w:p w:rsidR="00D414F4" w:rsidRDefault="00D414F4" w:rsidP="00B04567">
          <w:pPr>
            <w:pStyle w:val="HDFuabsender"/>
            <w:framePr w:hSpace="0" w:wrap="auto" w:vAnchor="margin" w:hAnchor="text" w:xAlign="left" w:yAlign="inline"/>
            <w:suppressOverlap w:val="0"/>
          </w:pPr>
          <w:bookmarkStart w:id="4" w:name="AbsenderRechts"/>
          <w:bookmarkEnd w:id="4"/>
          <w:r>
            <w:t>Seminarstraße 2</w:t>
          </w:r>
        </w:p>
        <w:p w:rsidR="00D414F4" w:rsidRDefault="00D414F4" w:rsidP="00B04567">
          <w:pPr>
            <w:pStyle w:val="HDFuabsender"/>
            <w:framePr w:hSpace="0" w:wrap="auto" w:vAnchor="margin" w:hAnchor="text" w:xAlign="left" w:yAlign="inline"/>
            <w:suppressOverlap w:val="0"/>
          </w:pPr>
          <w:r>
            <w:t>69117 Heidelberg</w:t>
          </w:r>
        </w:p>
        <w:p w:rsidR="00BE5A9B" w:rsidRPr="00DB3540" w:rsidRDefault="00D414F4" w:rsidP="00B04567">
          <w:pPr>
            <w:pStyle w:val="HDFuabsender"/>
            <w:framePr w:hSpace="0" w:wrap="auto" w:vAnchor="margin" w:hAnchor="text" w:xAlign="left" w:yAlign="inline"/>
            <w:suppressOverlap w:val="0"/>
          </w:pPr>
          <w:r>
            <w:t>www.uni-heidelberg.de</w:t>
          </w:r>
        </w:p>
      </w:tc>
    </w:tr>
  </w:tbl>
  <w:p w:rsidR="00BE5A9B" w:rsidRPr="00B7278D" w:rsidRDefault="00BE5A9B" w:rsidP="009C6274">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B2" w:rsidRDefault="00032BB2">
      <w:r>
        <w:separator/>
      </w:r>
    </w:p>
  </w:footnote>
  <w:footnote w:type="continuationSeparator" w:id="0">
    <w:p w:rsidR="00032BB2" w:rsidRDefault="0003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9B" w:rsidRPr="00B7278D" w:rsidRDefault="00BE5A9B">
    <w:pPr>
      <w:pStyle w:val="Kopfzeile"/>
      <w:rPr>
        <w:color w:val="FFFFFF" w:themeColor="background1"/>
      </w:rPr>
    </w:pPr>
    <w:r w:rsidRPr="00B7278D">
      <w:rPr>
        <w:noProof/>
        <w:color w:val="FFFFFF" w:themeColor="background1"/>
      </w:rPr>
      <mc:AlternateContent>
        <mc:Choice Requires="wps">
          <w:drawing>
            <wp:anchor distT="0" distB="0" distL="114300" distR="114300" simplePos="0" relativeHeight="251658240" behindDoc="0" locked="1" layoutInCell="1" allowOverlap="1" wp14:anchorId="51090438" wp14:editId="61F3AAFD">
              <wp:simplePos x="0" y="0"/>
              <wp:positionH relativeFrom="page">
                <wp:posOffset>215900</wp:posOffset>
              </wp:positionH>
              <wp:positionV relativeFrom="page">
                <wp:posOffset>3780790</wp:posOffset>
              </wp:positionV>
              <wp:extent cx="215900" cy="0"/>
              <wp:effectExtent l="0" t="0" r="1270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1CAA"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esEg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itCawbgSImq1taE4elIv5lnT7w4pXXdE7Xmk+Ho2kJeFjORNStg4Axfshs+aQQw5eB37&#10;dGptHyChA+gU5Tjf5OAnjygc5tnDIgXR6OhKSDnmGev8J657FIwKS+Acccnx2fnAg5RjSLhG6Y2Q&#10;MootFRqAbP6YxgSnpWDBGcKc3e9qadGRhHGJXywKPPdhVh8Ui2AdJ2x9tT0R8mLD5VIFPKgE6Fyt&#10;yzz8WKSL9Xw9LyZFPltPirRpJh83dTGZbbLHh+ZDU9dN9jNQy4qyE4xxFdiNs5kVf6f99ZVcpuo2&#10;nbc2JG/RY7+A7PiPpKOUQb3LHOw0O2/tKDGMYwy+Pp0w7/d7sO8f+OoXAAAA//8DAFBLAwQUAAYA&#10;CAAAACEAfKnKK94AAAAJAQAADwAAAGRycy9kb3ducmV2LnhtbEyPUU/CQBCE3034D5cl8U2uAkUo&#10;vRJjIkRfjNAfcPSWttLba3pHqf5618REH3d2MvNNuhlsI3rsfO1Iwf0kAoFUOFNTqSA/PN8tQfig&#10;yejGESr4RA+bbHST6sS4K71jvw+l4BDyiVZQhdAmUvqiQqv9xLVI/Du5zurAZ1dK0+krh9tGTqNo&#10;Ia2uiRsq3eJThcV5f7EKZnn8cmgforDbzj7609e2373mb0rdjofHNYiAQ/gzww8+o0PGTEd3IeNF&#10;wxlznhIUxKt4DoINiyULx19BZqn8vyD7BgAA//8DAFBLAQItABQABgAIAAAAIQC2gziS/gAAAOEB&#10;AAATAAAAAAAAAAAAAAAAAAAAAABbQ29udGVudF9UeXBlc10ueG1sUEsBAi0AFAAGAAgAAAAhADj9&#10;If/WAAAAlAEAAAsAAAAAAAAAAAAAAAAALwEAAF9yZWxzLy5yZWxzUEsBAi0AFAAGAAgAAAAhALzl&#10;56wSAgAAKAQAAA4AAAAAAAAAAAAAAAAALgIAAGRycy9lMm9Eb2MueG1sUEsBAi0AFAAGAAgAAAAh&#10;AHypyiveAAAACQEAAA8AAAAAAAAAAAAAAAAAbAQAAGRycy9kb3ducmV2LnhtbFBLBQYAAAAABAAE&#10;APMAAAB3BQAAAAA=&#10;" strokeweight=".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9B" w:rsidRPr="0090467F" w:rsidRDefault="006D14F5" w:rsidP="00A33F00">
    <w:pPr>
      <w:pStyle w:val="Kopfzeile"/>
    </w:pPr>
    <w:r>
      <w:rPr>
        <w:noProof/>
      </w:rPr>
      <w:drawing>
        <wp:anchor distT="0" distB="0" distL="114300" distR="114300" simplePos="0" relativeHeight="251655166" behindDoc="0" locked="1" layoutInCell="1" allowOverlap="1">
          <wp:simplePos x="0" y="0"/>
          <wp:positionH relativeFrom="page">
            <wp:align>left</wp:align>
          </wp:positionH>
          <wp:positionV relativeFrom="page">
            <wp:posOffset>0</wp:posOffset>
          </wp:positionV>
          <wp:extent cx="7562850" cy="1695450"/>
          <wp:effectExtent l="0" t="0" r="0" b="0"/>
          <wp:wrapNone/>
          <wp:docPr id="4" name="Logo_S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1" behindDoc="0" locked="1" layoutInCell="1" allowOverlap="1">
          <wp:simplePos x="0" y="0"/>
          <wp:positionH relativeFrom="page">
            <wp:align>left</wp:align>
          </wp:positionH>
          <wp:positionV relativeFrom="page">
            <wp:posOffset>0</wp:posOffset>
          </wp:positionV>
          <wp:extent cx="7562850" cy="1695450"/>
          <wp:effectExtent l="0" t="0" r="0" b="0"/>
          <wp:wrapNone/>
          <wp:docPr id="3" name="Logo_F_1"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r w:rsidR="0090467F">
      <w:rPr>
        <w:noProof/>
      </w:rPr>
      <mc:AlternateContent>
        <mc:Choice Requires="wps">
          <w:drawing>
            <wp:anchor distT="0" distB="0" distL="114300" distR="114300" simplePos="0" relativeHeight="251660288" behindDoc="0" locked="1" layoutInCell="1" allowOverlap="1" wp14:anchorId="0185E759" wp14:editId="0908E514">
              <wp:simplePos x="0" y="0"/>
              <wp:positionH relativeFrom="margin">
                <wp:align>left</wp:align>
              </wp:positionH>
              <wp:positionV relativeFrom="page">
                <wp:posOffset>541020</wp:posOffset>
              </wp:positionV>
              <wp:extent cx="6202680" cy="1471930"/>
              <wp:effectExtent l="0" t="0" r="7620" b="0"/>
              <wp:wrapSquare wrapText="bothSides"/>
              <wp:docPr id="5" name="Textfeld 5"/>
              <wp:cNvGraphicFramePr/>
              <a:graphic xmlns:a="http://schemas.openxmlformats.org/drawingml/2006/main">
                <a:graphicData uri="http://schemas.microsoft.com/office/word/2010/wordprocessingShape">
                  <wps:wsp>
                    <wps:cNvSpPr txBox="1"/>
                    <wps:spPr>
                      <a:xfrm>
                        <a:off x="0" y="0"/>
                        <a:ext cx="6202680" cy="1471930"/>
                      </a:xfrm>
                      <a:prstGeom prst="rect">
                        <a:avLst/>
                      </a:prstGeom>
                      <a:noFill/>
                      <a:ln w="6350">
                        <a:noFill/>
                      </a:ln>
                      <a:effectLst/>
                    </wps:spPr>
                    <wps:txbx>
                      <w:txbxContent>
                        <w:p w:rsidR="0090467F" w:rsidRPr="00360A7D" w:rsidRDefault="00D414F4" w:rsidP="0090467F">
                          <w:pPr>
                            <w:pStyle w:val="HDFensterabsender"/>
                          </w:pPr>
                          <w:bookmarkStart w:id="1" w:name="Fensterabsender"/>
                          <w:bookmarkEnd w:id="1"/>
                          <w:r>
                            <w:t>Universität Heidelberg, Seminarstraße 2, 69117 Heidelberg</w:t>
                          </w:r>
                          <w:r w:rsidR="00413845">
                            <w:t xml:space="preserve">                                                                                                                                                        Stand: 15.02.2022                                                  </w:t>
                          </w:r>
                        </w:p>
                      </w:txbxContent>
                    </wps:txbx>
                    <wps:bodyPr rot="0" spcFirstLastPara="0" vertOverflow="overflow" horzOverflow="overflow" vert="horz" wrap="square" lIns="0" tIns="0" rIns="0" bIns="9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5E759" id="_x0000_t202" coordsize="21600,21600" o:spt="202" path="m,l,21600r21600,l21600,xe">
              <v:stroke joinstyle="miter"/>
              <v:path gradientshapeok="t" o:connecttype="rect"/>
            </v:shapetype>
            <v:shape id="Textfeld 5" o:spid="_x0000_s1026" type="#_x0000_t202" style="position:absolute;margin-left:0;margin-top:42.6pt;width:488.4pt;height:11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G9MQIAAFQEAAAOAAAAZHJzL2Uyb0RvYy54bWysVE1vGjEQvVfqf7B8Lwuk5ANliWgiqkpR&#10;EgmqnI3XDit5Pa5t2E1/fZ+9LKnSnqpezOzMeD7ee+b6pmsMOygfarIln4zGnCkrqartS8m/b1af&#10;LjkLUdhKGLKq5K8q8JvFxw/XrZurKe3IVMozFLFh3rqS72J086IIcqcaEUbklEVQk29ExKd/KSov&#10;WlRvTDEdj8+LlnzlPEkVArx3fZAvcn2tlYyPWgcVmSk5Zov59PncprNYXIv5ixduV8vjGOIfpmhE&#10;bdH0VOpORMH2vv6jVFNLT4F0HElqCtK6lirvgG0m43fbrHfCqbwLwAnuBFP4f2Xlw+HJs7oq+Ywz&#10;KxpQtFFd1MpUbJbQaV2YI2ntkBa7L9SB5cEf4ExLd9o36RfrMMSB8+sJWxRjEs7z6Xh6fomQRGzy&#10;+WJydZbRL96uOx/iV0UNS0bJPcjLmIrDfYgYBalDSupmaVUbkwk0lrVocTYb5wunCG4Ym3JVlsKx&#10;TFqpHz1Zsdt2xz23VL1iTU+9TIKTqxqj3IsQn4SHLjA+tB4fcWhDaElHi7Md+Z9/86d80IUoZy10&#10;VvLwYy+84sx8syAyiXIw/GBss3F1AYWDlX1zS5DvBC/JyWzC66MZTO2pecYzWKZOCAkr0a/k28G8&#10;jb3i8YykWi5zEuTnRLy3aydT6QRSAnfTPQvvjgxEkPdAgwrF/B0RfW5PxXIfSdeZpQRqjyQoSx+Q&#10;bibv+MzS2/j9O2e9/RksfgEAAP//AwBQSwMEFAAGAAgAAAAhAHI9VLvfAAAABwEAAA8AAABkcnMv&#10;ZG93bnJldi54bWxMj0FPg0AUhO8m/ofNM/Fi7AJqi8ijMUa9eKlt0+htgVcgsm8Ju23x3/s86XEy&#10;k5lv8uVke3Wk0XeOEeJZBIq4cnXHDcJ283KdgvLBcG16x4TwTR6WxflZbrLanfidjuvQKClhnxmE&#10;NoQh09pXLVnjZ24gFm/vRmuCyLHR9WhOUm57nUTRXFvTsSy0ZqCnlqqv9cEiVLvd1erj9vkzrJoy&#10;2VP8+jakCeLlxfT4ACrQFP7C8Isv6FAIU+kOXHvVI8iRgJDeJaDEvV/M5UiJcBMvItBFrv/zFz8A&#10;AAD//wMAUEsBAi0AFAAGAAgAAAAhALaDOJL+AAAA4QEAABMAAAAAAAAAAAAAAAAAAAAAAFtDb250&#10;ZW50X1R5cGVzXS54bWxQSwECLQAUAAYACAAAACEAOP0h/9YAAACUAQAACwAAAAAAAAAAAAAAAAAv&#10;AQAAX3JlbHMvLnJlbHNQSwECLQAUAAYACAAAACEAGfTBvTECAABUBAAADgAAAAAAAAAAAAAAAAAu&#10;AgAAZHJzL2Uyb0RvYy54bWxQSwECLQAUAAYACAAAACEAcj1Uu98AAAAHAQAADwAAAAAAAAAAAAAA&#10;AACLBAAAZHJzL2Rvd25yZXYueG1sUEsFBgAAAAAEAAQA8wAAAJcFAAAAAA==&#10;" filled="f" stroked="f" strokeweight=".5pt">
              <v:textbox inset="0,0,0,2.7mm">
                <w:txbxContent>
                  <w:p w:rsidR="0090467F" w:rsidRPr="00360A7D" w:rsidRDefault="00D414F4" w:rsidP="0090467F">
                    <w:pPr>
                      <w:pStyle w:val="HDFensterabsender"/>
                    </w:pPr>
                    <w:bookmarkStart w:id="2" w:name="Fensterabsender"/>
                    <w:bookmarkEnd w:id="2"/>
                    <w:r>
                      <w:t>Universität Heidelberg, Seminarstraße 2, 69117 Heidelberg</w:t>
                    </w:r>
                    <w:r w:rsidR="00413845">
                      <w:t xml:space="preserve">                                                                                                                                                        Stand: 15.02.2022                                                  </w:t>
                    </w:r>
                  </w:p>
                </w:txbxContent>
              </v:textbox>
              <w10:wrap type="square" anchorx="margin" anchory="page"/>
              <w10:anchorlock/>
            </v:shape>
          </w:pict>
        </mc:Fallback>
      </mc:AlternateContent>
    </w:r>
    <w:r w:rsidR="00BE5A9B" w:rsidRPr="0090467F">
      <w:rPr>
        <w:noProof/>
      </w:rPr>
      <mc:AlternateContent>
        <mc:Choice Requires="wps">
          <w:drawing>
            <wp:anchor distT="0" distB="0" distL="114300" distR="114300" simplePos="0" relativeHeight="251657216" behindDoc="0" locked="1" layoutInCell="1" allowOverlap="1" wp14:anchorId="3548D608" wp14:editId="4647C4DD">
              <wp:simplePos x="0" y="0"/>
              <wp:positionH relativeFrom="page">
                <wp:posOffset>215900</wp:posOffset>
              </wp:positionH>
              <wp:positionV relativeFrom="page">
                <wp:posOffset>3780790</wp:posOffset>
              </wp:positionV>
              <wp:extent cx="215900" cy="0"/>
              <wp:effectExtent l="0" t="0" r="1270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E9DA"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dO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H2EFrTG1dARKW2NhRHT+rVbDT97pDSVUvUnkeKb2cDeVnISN6lhI0zcMGu/6IZxJCD17FP&#10;p8Z2ARI6gE5RjvNNDn7yiMLhJHucpyAaHVwJKYY8Y53/zHWHglFiCZwjLjlunA88SDGEhGuUXgsp&#10;o9hSoR7ITp7SmOC0FCw4Q5iz+10lLTqSMC7xi0WB5z7M6oNiEazlhK2utidCXmy4XKqAB5UAnat1&#10;mYcf83S+mq1m+SifTFejPK3r0ad1lY+m6+zpsX6oq6rOfgZqWV60gjGuArthNrP877S/vpLLVN2m&#10;89aG5D167BeQHf6RdJQyqHeZg51m560dJIZxjMHXpxPm/X4P9v0DX/4CAAD//wMAUEsDBBQABgAI&#10;AAAAIQB8qcor3gAAAAkBAAAPAAAAZHJzL2Rvd25yZXYueG1sTI9RT8JAEITfTfgPlyXxTa4CRSi9&#10;EmMiRF+M0B9w9Ja20ttrekep/nrXxEQfd3Yy8026GWwjeux87UjB/SQCgVQ4U1OpID883y1B+KDJ&#10;6MYRKvhED5tsdJPqxLgrvWO/D6XgEPKJVlCF0CZS+qJCq/3EtUj8O7nO6sBnV0rT6SuH20ZOo2gh&#10;ra6JGyrd4lOFxXl/sQpmefxyaB+isNvOPvrT17bfveZvSt2Oh8c1iIBD+DPDDz6jQ8ZMR3ch40XD&#10;GXOeEhTEq3gOgg2LJQvHX0Fmqfy/IPsGAAD//wMAUEsBAi0AFAAGAAgAAAAhALaDOJL+AAAA4QEA&#10;ABMAAAAAAAAAAAAAAAAAAAAAAFtDb250ZW50X1R5cGVzXS54bWxQSwECLQAUAAYACAAAACEAOP0h&#10;/9YAAACUAQAACwAAAAAAAAAAAAAAAAAvAQAAX3JlbHMvLnJlbHNQSwECLQAUAAYACAAAACEAsIEX&#10;ThECAAAoBAAADgAAAAAAAAAAAAAAAAAuAgAAZHJzL2Uyb0RvYy54bWxQSwECLQAUAAYACAAAACEA&#10;fKnKK94AAAAJAQAADwAAAAAAAAAAAAAAAABrBAAAZHJzL2Rvd25yZXYueG1sUEsFBgAAAAAEAAQA&#10;8wAAAHYFAAAAAA==&#10;" strokeweight=".1pt">
              <w10:wrap anchorx="page" anchory="page"/>
              <w10:anchorlock/>
            </v:line>
          </w:pict>
        </mc:Fallback>
      </mc:AlternateContent>
    </w:r>
  </w:p>
  <w:p w:rsidR="00BE5A9B" w:rsidRPr="00693642" w:rsidRDefault="00BE5A9B" w:rsidP="00A33F00">
    <w:pPr>
      <w:pStyle w:val="HDFensterabsender"/>
      <w:spacing w:line="160" w:lineRule="atLeas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B65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F00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6E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61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C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07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E4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8B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5C1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26B0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5D26"/>
    <w:multiLevelType w:val="multilevel"/>
    <w:tmpl w:val="831C45E8"/>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0034B4"/>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897501"/>
    <w:multiLevelType w:val="multilevel"/>
    <w:tmpl w:val="51DCC26A"/>
    <w:numStyleLink w:val="HDAufzhlung"/>
  </w:abstractNum>
  <w:abstractNum w:abstractNumId="13" w15:restartNumberingAfterBreak="0">
    <w:nsid w:val="128E03E4"/>
    <w:multiLevelType w:val="hybridMultilevel"/>
    <w:tmpl w:val="5942B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042CEB"/>
    <w:multiLevelType w:val="multilevel"/>
    <w:tmpl w:val="51DCC26A"/>
    <w:styleLink w:val="HDAufzhlung"/>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ED56AB"/>
    <w:multiLevelType w:val="multilevel"/>
    <w:tmpl w:val="51DCC26A"/>
    <w:numStyleLink w:val="HDAufzhlung"/>
  </w:abstractNum>
  <w:abstractNum w:abstractNumId="16" w15:restartNumberingAfterBreak="0">
    <w:nsid w:val="27E36513"/>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5F07E6"/>
    <w:multiLevelType w:val="hybridMultilevel"/>
    <w:tmpl w:val="D0CE2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95299A"/>
    <w:multiLevelType w:val="multilevel"/>
    <w:tmpl w:val="94A4C81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621962"/>
    <w:multiLevelType w:val="hybridMultilevel"/>
    <w:tmpl w:val="84CE6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DF59C5"/>
    <w:multiLevelType w:val="multilevel"/>
    <w:tmpl w:val="831C45E8"/>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4319C2"/>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857CAC"/>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9F24B7"/>
    <w:multiLevelType w:val="hybridMultilevel"/>
    <w:tmpl w:val="8D2EA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D470E6"/>
    <w:multiLevelType w:val="multilevel"/>
    <w:tmpl w:val="500ADDDA"/>
    <w:lvl w:ilvl="0">
      <w:start w:val="1"/>
      <w:numFmt w:val="bullet"/>
      <w:pStyle w:val="HDAufzhlung0"/>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1F7B98"/>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A64AEB"/>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C140089"/>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6C0B30"/>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E561804"/>
    <w:multiLevelType w:val="hybridMultilevel"/>
    <w:tmpl w:val="48DC8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0D62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7"/>
  </w:num>
  <w:num w:numId="3">
    <w:abstractNumId w:val="16"/>
  </w:num>
  <w:num w:numId="4">
    <w:abstractNumId w:val="22"/>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30"/>
  </w:num>
  <w:num w:numId="19">
    <w:abstractNumId w:val="10"/>
  </w:num>
  <w:num w:numId="20">
    <w:abstractNumId w:val="24"/>
  </w:num>
  <w:num w:numId="21">
    <w:abstractNumId w:val="12"/>
  </w:num>
  <w:num w:numId="22">
    <w:abstractNumId w:val="18"/>
  </w:num>
  <w:num w:numId="23">
    <w:abstractNumId w:val="21"/>
  </w:num>
  <w:num w:numId="24">
    <w:abstractNumId w:val="28"/>
  </w:num>
  <w:num w:numId="25">
    <w:abstractNumId w:val="26"/>
  </w:num>
  <w:num w:numId="26">
    <w:abstractNumId w:val="11"/>
  </w:num>
  <w:num w:numId="27">
    <w:abstractNumId w:val="17"/>
  </w:num>
  <w:num w:numId="28">
    <w:abstractNumId w:val="13"/>
  </w:num>
  <w:num w:numId="29">
    <w:abstractNumId w:val="19"/>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2D"/>
    <w:rsid w:val="00032BB2"/>
    <w:rsid w:val="00054DB8"/>
    <w:rsid w:val="000D2E71"/>
    <w:rsid w:val="000E1403"/>
    <w:rsid w:val="000E41C4"/>
    <w:rsid w:val="00107A34"/>
    <w:rsid w:val="001329A8"/>
    <w:rsid w:val="001365D3"/>
    <w:rsid w:val="00143818"/>
    <w:rsid w:val="00160B1F"/>
    <w:rsid w:val="001731D5"/>
    <w:rsid w:val="001A449B"/>
    <w:rsid w:val="001B77D2"/>
    <w:rsid w:val="001C4956"/>
    <w:rsid w:val="001C6E36"/>
    <w:rsid w:val="001D1B30"/>
    <w:rsid w:val="002073A6"/>
    <w:rsid w:val="00221193"/>
    <w:rsid w:val="00237DDD"/>
    <w:rsid w:val="00244193"/>
    <w:rsid w:val="002A1262"/>
    <w:rsid w:val="002B2ADC"/>
    <w:rsid w:val="002F4292"/>
    <w:rsid w:val="00313303"/>
    <w:rsid w:val="003178CF"/>
    <w:rsid w:val="00326C30"/>
    <w:rsid w:val="00333E77"/>
    <w:rsid w:val="003376BD"/>
    <w:rsid w:val="003901E1"/>
    <w:rsid w:val="00397CA2"/>
    <w:rsid w:val="003A54F9"/>
    <w:rsid w:val="003B23F0"/>
    <w:rsid w:val="003B79F0"/>
    <w:rsid w:val="003D13BC"/>
    <w:rsid w:val="003E3316"/>
    <w:rsid w:val="00411AAF"/>
    <w:rsid w:val="00413845"/>
    <w:rsid w:val="0042384F"/>
    <w:rsid w:val="00431BB2"/>
    <w:rsid w:val="00493C68"/>
    <w:rsid w:val="004A389D"/>
    <w:rsid w:val="004A3D81"/>
    <w:rsid w:val="004B3851"/>
    <w:rsid w:val="0052122A"/>
    <w:rsid w:val="00522532"/>
    <w:rsid w:val="0053744B"/>
    <w:rsid w:val="00571F27"/>
    <w:rsid w:val="00600F2D"/>
    <w:rsid w:val="0061355C"/>
    <w:rsid w:val="006413CA"/>
    <w:rsid w:val="00661FA1"/>
    <w:rsid w:val="00662641"/>
    <w:rsid w:val="00693642"/>
    <w:rsid w:val="006956FD"/>
    <w:rsid w:val="006A1A6E"/>
    <w:rsid w:val="006A677D"/>
    <w:rsid w:val="006A690D"/>
    <w:rsid w:val="006B3977"/>
    <w:rsid w:val="006C0C52"/>
    <w:rsid w:val="006C1E3D"/>
    <w:rsid w:val="006D14F5"/>
    <w:rsid w:val="006D5C0C"/>
    <w:rsid w:val="006E59DB"/>
    <w:rsid w:val="00716B72"/>
    <w:rsid w:val="00722E31"/>
    <w:rsid w:val="00730FAF"/>
    <w:rsid w:val="007552B7"/>
    <w:rsid w:val="007A1379"/>
    <w:rsid w:val="007A1473"/>
    <w:rsid w:val="007D1A42"/>
    <w:rsid w:val="007D67F8"/>
    <w:rsid w:val="007E0421"/>
    <w:rsid w:val="007E567B"/>
    <w:rsid w:val="007F4A9A"/>
    <w:rsid w:val="0080156D"/>
    <w:rsid w:val="008037EF"/>
    <w:rsid w:val="00822B8B"/>
    <w:rsid w:val="00841A9E"/>
    <w:rsid w:val="00865AAB"/>
    <w:rsid w:val="00887228"/>
    <w:rsid w:val="0089370D"/>
    <w:rsid w:val="008A2BF4"/>
    <w:rsid w:val="008A6DB5"/>
    <w:rsid w:val="008F7ED0"/>
    <w:rsid w:val="0090467F"/>
    <w:rsid w:val="00910F88"/>
    <w:rsid w:val="0092555D"/>
    <w:rsid w:val="009501B2"/>
    <w:rsid w:val="0095680D"/>
    <w:rsid w:val="00957BC3"/>
    <w:rsid w:val="00973692"/>
    <w:rsid w:val="00985287"/>
    <w:rsid w:val="00993ECD"/>
    <w:rsid w:val="009C3792"/>
    <w:rsid w:val="009C6274"/>
    <w:rsid w:val="00A05333"/>
    <w:rsid w:val="00A24B12"/>
    <w:rsid w:val="00A2675D"/>
    <w:rsid w:val="00A33F00"/>
    <w:rsid w:val="00A37A85"/>
    <w:rsid w:val="00A57709"/>
    <w:rsid w:val="00A87AAA"/>
    <w:rsid w:val="00AD264C"/>
    <w:rsid w:val="00AD557F"/>
    <w:rsid w:val="00AD59C1"/>
    <w:rsid w:val="00AF3FA8"/>
    <w:rsid w:val="00B04567"/>
    <w:rsid w:val="00B14F4B"/>
    <w:rsid w:val="00B30458"/>
    <w:rsid w:val="00B343FF"/>
    <w:rsid w:val="00B502A2"/>
    <w:rsid w:val="00B514EF"/>
    <w:rsid w:val="00B7278D"/>
    <w:rsid w:val="00B90C76"/>
    <w:rsid w:val="00BB4445"/>
    <w:rsid w:val="00BC6128"/>
    <w:rsid w:val="00BD68F2"/>
    <w:rsid w:val="00BE5A9B"/>
    <w:rsid w:val="00BE5C6C"/>
    <w:rsid w:val="00BE5C9A"/>
    <w:rsid w:val="00BF3D00"/>
    <w:rsid w:val="00C04A44"/>
    <w:rsid w:val="00C33C8B"/>
    <w:rsid w:val="00C82AE4"/>
    <w:rsid w:val="00C8536E"/>
    <w:rsid w:val="00CA1B30"/>
    <w:rsid w:val="00CB0D6E"/>
    <w:rsid w:val="00CB61B6"/>
    <w:rsid w:val="00CE324E"/>
    <w:rsid w:val="00D33750"/>
    <w:rsid w:val="00D414F4"/>
    <w:rsid w:val="00D45E09"/>
    <w:rsid w:val="00DA1138"/>
    <w:rsid w:val="00DB07A7"/>
    <w:rsid w:val="00DB3540"/>
    <w:rsid w:val="00DB7790"/>
    <w:rsid w:val="00DC0AAB"/>
    <w:rsid w:val="00E37816"/>
    <w:rsid w:val="00E62B16"/>
    <w:rsid w:val="00EE4428"/>
    <w:rsid w:val="00EF753A"/>
    <w:rsid w:val="00F051E7"/>
    <w:rsid w:val="00F2629C"/>
    <w:rsid w:val="00F27B43"/>
    <w:rsid w:val="00F45961"/>
    <w:rsid w:val="00F53CFC"/>
    <w:rsid w:val="00F622C8"/>
    <w:rsid w:val="00F94898"/>
    <w:rsid w:val="00FF013B"/>
    <w:rsid w:val="00FF117D"/>
    <w:rsid w:val="00FF1BD5"/>
    <w:rsid w:val="00FF2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D4D871-8E2F-4EFD-87AF-EE3C5CA7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1B6"/>
    <w:pPr>
      <w:spacing w:line="240" w:lineRule="atLeast"/>
    </w:pPr>
    <w:rPr>
      <w:sz w:val="20"/>
    </w:rPr>
  </w:style>
  <w:style w:type="paragraph" w:styleId="berschrift1">
    <w:name w:val="heading 1"/>
    <w:basedOn w:val="Standard"/>
    <w:next w:val="Standard"/>
    <w:link w:val="berschrift1Zchn"/>
    <w:semiHidden/>
    <w:unhideWhenUsed/>
    <w:rsid w:val="00C33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355C"/>
    <w:pPr>
      <w:tabs>
        <w:tab w:val="center" w:pos="4536"/>
        <w:tab w:val="right" w:pos="9072"/>
      </w:tabs>
    </w:pPr>
  </w:style>
  <w:style w:type="paragraph" w:styleId="Fuzeile">
    <w:name w:val="footer"/>
    <w:basedOn w:val="Standard"/>
    <w:semiHidden/>
    <w:rsid w:val="0061355C"/>
  </w:style>
  <w:style w:type="table" w:styleId="Tabellenraster">
    <w:name w:val="Table Grid"/>
    <w:basedOn w:val="NormaleTabelle"/>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semiHidden/>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
    <w:name w:val="HD_Aufzählung_"/>
    <w:rsid w:val="00B514EF"/>
    <w:pPr>
      <w:numPr>
        <w:numId w:val="5"/>
      </w:numPr>
    </w:pPr>
  </w:style>
  <w:style w:type="character" w:styleId="Platzhaltertext">
    <w:name w:val="Placeholder Text"/>
    <w:basedOn w:val="Absatz-Standardschriftart"/>
    <w:uiPriority w:val="99"/>
    <w:semiHidden/>
    <w:rsid w:val="006A677D"/>
    <w:rPr>
      <w:color w:val="808080"/>
    </w:rPr>
  </w:style>
  <w:style w:type="paragraph" w:styleId="Sprechblasentext">
    <w:name w:val="Balloon Text"/>
    <w:basedOn w:val="Standard"/>
    <w:link w:val="SprechblasentextZchn"/>
    <w:semiHidden/>
    <w:rsid w:val="006A677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B07A7"/>
    <w:rPr>
      <w:rFonts w:ascii="Tahoma" w:hAnsi="Tahoma" w:cs="Tahoma"/>
      <w:sz w:val="16"/>
      <w:szCs w:val="16"/>
    </w:rPr>
  </w:style>
  <w:style w:type="paragraph" w:customStyle="1" w:styleId="HDFensterabsender">
    <w:name w:val="HD_Fensterabsender"/>
    <w:basedOn w:val="Kopfzeile"/>
    <w:semiHidden/>
    <w:rsid w:val="00A33F00"/>
    <w:rPr>
      <w:sz w:val="12"/>
      <w:szCs w:val="12"/>
    </w:rPr>
  </w:style>
  <w:style w:type="paragraph" w:styleId="Listenabsatz">
    <w:name w:val="List Paragraph"/>
    <w:basedOn w:val="Standard"/>
    <w:uiPriority w:val="34"/>
    <w:semiHidden/>
    <w:rsid w:val="00C33C8B"/>
    <w:pPr>
      <w:ind w:left="720"/>
      <w:contextualSpacing/>
    </w:pPr>
  </w:style>
  <w:style w:type="character" w:customStyle="1" w:styleId="berschrift1Zchn">
    <w:name w:val="Überschrift 1 Zchn"/>
    <w:basedOn w:val="Absatz-Standardschriftart"/>
    <w:link w:val="berschrift1"/>
    <w:semiHidden/>
    <w:rsid w:val="00107A34"/>
    <w:rPr>
      <w:rFonts w:asciiTheme="majorHAnsi" w:eastAsiaTheme="majorEastAsia" w:hAnsiTheme="majorHAnsi" w:cstheme="majorBidi"/>
      <w:b/>
      <w:bCs/>
      <w:color w:val="365F91" w:themeColor="accent1" w:themeShade="BF"/>
      <w:sz w:val="28"/>
      <w:szCs w:val="28"/>
    </w:rPr>
  </w:style>
  <w:style w:type="paragraph" w:customStyle="1" w:styleId="HDAufzhlung0">
    <w:name w:val="HD_Aufzählung"/>
    <w:basedOn w:val="Listenabsatz"/>
    <w:qFormat/>
    <w:rsid w:val="00107A34"/>
    <w:pPr>
      <w:numPr>
        <w:numId w:val="20"/>
      </w:numPr>
    </w:pPr>
  </w:style>
  <w:style w:type="paragraph" w:customStyle="1" w:styleId="HDBetreff">
    <w:name w:val="HD_Betreff"/>
    <w:basedOn w:val="Standard"/>
    <w:rsid w:val="009501B2"/>
    <w:rPr>
      <w:b/>
    </w:rPr>
  </w:style>
  <w:style w:type="character" w:styleId="Hyperlink">
    <w:name w:val="Hyperlink"/>
    <w:basedOn w:val="Absatz-Standardschriftart"/>
    <w:unhideWhenUsed/>
    <w:rsid w:val="00DA1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heidelberg.de/universitaet/beschaeftigte/service/personal/umzug_trennu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HGsw" Type="http://schemas.openxmlformats.org/officeDocument/2006/relationships/image" Target="images/HGsw.png"/><Relationship Id="HGAus" Type="http://schemas.openxmlformats.org/officeDocument/2006/relationships/image" Target="images/HGAus.png"/><Relationship Id="HGfarbig" Type="http://schemas.openxmlformats.org/officeDocument/2006/relationships/image" Target="images/HGfarbig.png"/></Relationships>
</file>

<file path=customUI/customUI14.xml><?xml version="1.0" encoding="utf-8"?>
<customUI xmlns="http://schemas.microsoft.com/office/2009/07/customui">
  <ribbon startFromScratch="false">
    <tabs>
      <tab idMso="TabHome">
        <group id="UniHD" label="Hintergrund umschalten" image="HGAus" insertAfterMso="GroupParagraph">
          <button id="ButtonHGohne" image="HGAus" label="vorgedrucktes Papier" onAction="HGOhne"/>
          <button id="ButtonHGfarbig" image="HGfarbig" label="farbiges Logo" onAction="HGfarbig"/>
          <button id="ButtonHGsw" image="HGsw" label="s/w Logo" onAction="HGsw"/>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Klemm, Regine</dc:creator>
  <cp:lastModifiedBy>Gansjuk, Oxana</cp:lastModifiedBy>
  <cp:revision>2</cp:revision>
  <cp:lastPrinted>2022-02-17T09:27:00Z</cp:lastPrinted>
  <dcterms:created xsi:type="dcterms:W3CDTF">2022-03-17T13:07:00Z</dcterms:created>
  <dcterms:modified xsi:type="dcterms:W3CDTF">2022-03-17T13:07:00Z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130429</vt:lpwstr>
  </property>
</Properties>
</file>